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488" w:type="dxa"/>
        <w:tblInd w:w="-5" w:type="dxa"/>
        <w:tblLook w:val="04A0"/>
      </w:tblPr>
      <w:tblGrid>
        <w:gridCol w:w="2676"/>
        <w:gridCol w:w="1860"/>
        <w:gridCol w:w="5068"/>
        <w:gridCol w:w="4884"/>
      </w:tblGrid>
      <w:tr w:rsidR="004D50DB" w:rsidTr="004D50DB">
        <w:tc>
          <w:tcPr>
            <w:tcW w:w="2676" w:type="dxa"/>
            <w:tcBorders>
              <w:top w:val="single" w:sz="4" w:space="0" w:color="auto"/>
              <w:left w:val="single" w:sz="4" w:space="0" w:color="auto"/>
              <w:bottom w:val="single" w:sz="4" w:space="0" w:color="auto"/>
              <w:right w:val="single" w:sz="4" w:space="0" w:color="auto"/>
            </w:tcBorders>
            <w:shd w:val="clear" w:color="auto" w:fill="FFFF00"/>
            <w:hideMark/>
          </w:tcPr>
          <w:p w:rsidR="004D50DB" w:rsidRDefault="004D50DB">
            <w:pPr>
              <w:ind w:left="0"/>
              <w:rPr>
                <w:rFonts w:cs="Arial"/>
                <w:b/>
              </w:rPr>
            </w:pPr>
            <w:r>
              <w:rPr>
                <w:rFonts w:cs="Arial"/>
                <w:b/>
              </w:rPr>
              <w:t xml:space="preserve">No: </w:t>
            </w:r>
          </w:p>
        </w:tc>
        <w:tc>
          <w:tcPr>
            <w:tcW w:w="1860" w:type="dxa"/>
            <w:tcBorders>
              <w:top w:val="single" w:sz="4" w:space="0" w:color="auto"/>
              <w:left w:val="single" w:sz="4" w:space="0" w:color="auto"/>
              <w:bottom w:val="single" w:sz="4" w:space="0" w:color="auto"/>
              <w:right w:val="single" w:sz="4" w:space="0" w:color="auto"/>
            </w:tcBorders>
            <w:shd w:val="clear" w:color="auto" w:fill="FFFF00"/>
            <w:hideMark/>
          </w:tcPr>
          <w:p w:rsidR="004D50DB" w:rsidRDefault="004D50DB">
            <w:pPr>
              <w:ind w:left="0"/>
              <w:rPr>
                <w:rFonts w:cs="Arial"/>
                <w:b/>
              </w:rPr>
            </w:pPr>
            <w:r>
              <w:rPr>
                <w:rFonts w:cs="Arial"/>
                <w:b/>
              </w:rPr>
              <w:t xml:space="preserve">Burns &amp; Scalds </w:t>
            </w:r>
          </w:p>
        </w:tc>
        <w:tc>
          <w:tcPr>
            <w:tcW w:w="5068" w:type="dxa"/>
            <w:tcBorders>
              <w:top w:val="single" w:sz="4" w:space="0" w:color="auto"/>
              <w:left w:val="single" w:sz="4" w:space="0" w:color="auto"/>
              <w:bottom w:val="single" w:sz="4" w:space="0" w:color="auto"/>
              <w:right w:val="single" w:sz="4" w:space="0" w:color="auto"/>
            </w:tcBorders>
            <w:shd w:val="clear" w:color="auto" w:fill="FFFF00"/>
            <w:hideMark/>
          </w:tcPr>
          <w:p w:rsidR="004D50DB" w:rsidRDefault="004D50DB">
            <w:pPr>
              <w:ind w:left="0"/>
              <w:rPr>
                <w:rFonts w:cs="Arial"/>
                <w:b/>
              </w:rPr>
            </w:pPr>
            <w:r>
              <w:rPr>
                <w:rFonts w:cs="Arial"/>
                <w:b/>
              </w:rPr>
              <w:t xml:space="preserve">Date: </w:t>
            </w:r>
          </w:p>
        </w:tc>
        <w:tc>
          <w:tcPr>
            <w:tcW w:w="4884" w:type="dxa"/>
            <w:tcBorders>
              <w:top w:val="single" w:sz="4" w:space="0" w:color="auto"/>
              <w:left w:val="single" w:sz="4" w:space="0" w:color="auto"/>
              <w:bottom w:val="single" w:sz="4" w:space="0" w:color="auto"/>
              <w:right w:val="single" w:sz="4" w:space="0" w:color="auto"/>
            </w:tcBorders>
            <w:shd w:val="clear" w:color="auto" w:fill="FFFF00"/>
          </w:tcPr>
          <w:p w:rsidR="004D50DB" w:rsidRDefault="00A8658E">
            <w:pPr>
              <w:ind w:left="0"/>
              <w:rPr>
                <w:rFonts w:cs="Arial"/>
                <w:b/>
              </w:rPr>
            </w:pPr>
            <w:r>
              <w:rPr>
                <w:rFonts w:cs="Arial"/>
                <w:b/>
              </w:rPr>
              <w:t xml:space="preserve">Review: </w:t>
            </w:r>
          </w:p>
          <w:p w:rsidR="004D50DB" w:rsidRDefault="004D50DB">
            <w:pPr>
              <w:ind w:left="0"/>
              <w:rPr>
                <w:rFonts w:cs="Arial"/>
                <w:b/>
              </w:rPr>
            </w:pPr>
          </w:p>
        </w:tc>
      </w:tr>
      <w:tr w:rsidR="004D50DB" w:rsidTr="004D50DB">
        <w:tc>
          <w:tcPr>
            <w:tcW w:w="2676" w:type="dxa"/>
            <w:tcBorders>
              <w:top w:val="single" w:sz="4" w:space="0" w:color="auto"/>
              <w:left w:val="single" w:sz="4" w:space="0" w:color="auto"/>
              <w:bottom w:val="single" w:sz="4" w:space="0" w:color="auto"/>
              <w:right w:val="single" w:sz="4" w:space="0" w:color="auto"/>
            </w:tcBorders>
            <w:hideMark/>
          </w:tcPr>
          <w:p w:rsidR="004D50DB" w:rsidRDefault="004D50DB">
            <w:pPr>
              <w:ind w:left="0"/>
              <w:rPr>
                <w:b/>
              </w:rPr>
            </w:pPr>
            <w:r>
              <w:rPr>
                <w:b/>
              </w:rPr>
              <w:t xml:space="preserve">POSSIBLE HAZARD </w:t>
            </w:r>
          </w:p>
        </w:tc>
        <w:tc>
          <w:tcPr>
            <w:tcW w:w="1860" w:type="dxa"/>
            <w:tcBorders>
              <w:top w:val="single" w:sz="4" w:space="0" w:color="auto"/>
              <w:left w:val="single" w:sz="4" w:space="0" w:color="auto"/>
              <w:bottom w:val="single" w:sz="4" w:space="0" w:color="auto"/>
              <w:right w:val="single" w:sz="4" w:space="0" w:color="auto"/>
            </w:tcBorders>
            <w:hideMark/>
          </w:tcPr>
          <w:p w:rsidR="004D50DB" w:rsidRDefault="004D50DB">
            <w:pPr>
              <w:ind w:left="0"/>
              <w:rPr>
                <w:b/>
              </w:rPr>
            </w:pPr>
            <w:r>
              <w:rPr>
                <w:b/>
              </w:rPr>
              <w:t xml:space="preserve">PERSONS AT RISK </w:t>
            </w:r>
          </w:p>
        </w:tc>
        <w:tc>
          <w:tcPr>
            <w:tcW w:w="5068" w:type="dxa"/>
            <w:tcBorders>
              <w:top w:val="single" w:sz="4" w:space="0" w:color="auto"/>
              <w:left w:val="single" w:sz="4" w:space="0" w:color="auto"/>
              <w:bottom w:val="single" w:sz="4" w:space="0" w:color="auto"/>
              <w:right w:val="single" w:sz="4" w:space="0" w:color="auto"/>
            </w:tcBorders>
            <w:hideMark/>
          </w:tcPr>
          <w:p w:rsidR="004D50DB" w:rsidRDefault="004D50DB">
            <w:pPr>
              <w:ind w:left="0"/>
              <w:rPr>
                <w:b/>
              </w:rPr>
            </w:pPr>
            <w:r>
              <w:rPr>
                <w:b/>
              </w:rPr>
              <w:t xml:space="preserve">CONTROLS </w:t>
            </w:r>
          </w:p>
        </w:tc>
        <w:tc>
          <w:tcPr>
            <w:tcW w:w="4884" w:type="dxa"/>
            <w:tcBorders>
              <w:top w:val="single" w:sz="4" w:space="0" w:color="auto"/>
              <w:left w:val="single" w:sz="4" w:space="0" w:color="auto"/>
              <w:bottom w:val="single" w:sz="4" w:space="0" w:color="auto"/>
              <w:right w:val="single" w:sz="4" w:space="0" w:color="auto"/>
            </w:tcBorders>
            <w:hideMark/>
          </w:tcPr>
          <w:p w:rsidR="004D50DB" w:rsidRDefault="004D50DB">
            <w:pPr>
              <w:ind w:left="0"/>
              <w:rPr>
                <w:b/>
              </w:rPr>
            </w:pPr>
            <w:r>
              <w:rPr>
                <w:b/>
              </w:rPr>
              <w:t xml:space="preserve">Comments  </w:t>
            </w:r>
          </w:p>
        </w:tc>
      </w:tr>
      <w:tr w:rsidR="004D50DB" w:rsidRPr="004D50DB" w:rsidTr="004D50DB">
        <w:tc>
          <w:tcPr>
            <w:tcW w:w="2676" w:type="dxa"/>
            <w:tcBorders>
              <w:top w:val="single" w:sz="4" w:space="0" w:color="auto"/>
              <w:left w:val="single" w:sz="4" w:space="0" w:color="auto"/>
              <w:bottom w:val="single" w:sz="4" w:space="0" w:color="auto"/>
              <w:right w:val="single" w:sz="4" w:space="0" w:color="auto"/>
            </w:tcBorders>
          </w:tcPr>
          <w:p w:rsidR="004D50DB" w:rsidRDefault="004D50DB">
            <w:pPr>
              <w:pStyle w:val="Akapitzlist"/>
              <w:spacing w:before="120"/>
              <w:ind w:left="317" w:hanging="317"/>
              <w:rPr>
                <w:rFonts w:cs="Arial"/>
              </w:rPr>
            </w:pPr>
          </w:p>
          <w:p w:rsidR="004D50DB" w:rsidRDefault="004D50DB" w:rsidP="004D50DB">
            <w:pPr>
              <w:pStyle w:val="Akapitzlist"/>
              <w:numPr>
                <w:ilvl w:val="0"/>
                <w:numId w:val="46"/>
              </w:numPr>
              <w:spacing w:before="120"/>
              <w:ind w:left="317" w:hanging="317"/>
              <w:rPr>
                <w:rFonts w:cs="Arial"/>
              </w:rPr>
            </w:pPr>
            <w:r>
              <w:rPr>
                <w:rFonts w:cs="Arial"/>
              </w:rPr>
              <w:t>Hot or boiling water</w:t>
            </w:r>
          </w:p>
          <w:p w:rsidR="004D50DB" w:rsidRDefault="004D50DB">
            <w:pPr>
              <w:pStyle w:val="Akapitzlist"/>
              <w:spacing w:before="120"/>
              <w:ind w:left="317"/>
              <w:rPr>
                <w:rFonts w:cs="Arial"/>
              </w:rPr>
            </w:pPr>
            <w:r>
              <w:rPr>
                <w:rFonts w:cs="Arial"/>
              </w:rPr>
              <w:t>(burns &amp; scalds)</w:t>
            </w:r>
          </w:p>
          <w:p w:rsidR="004D50DB" w:rsidRDefault="004D50DB">
            <w:pPr>
              <w:pStyle w:val="Akapitzlist"/>
              <w:spacing w:before="120"/>
              <w:ind w:left="317" w:hanging="317"/>
              <w:rPr>
                <w:rFonts w:cs="Arial"/>
              </w:rPr>
            </w:pPr>
          </w:p>
          <w:p w:rsidR="004D50DB" w:rsidRDefault="004D50DB" w:rsidP="004D50DB">
            <w:pPr>
              <w:pStyle w:val="Akapitzlist"/>
              <w:numPr>
                <w:ilvl w:val="0"/>
                <w:numId w:val="46"/>
              </w:numPr>
              <w:spacing w:before="120"/>
              <w:ind w:left="317" w:hanging="317"/>
              <w:rPr>
                <w:rFonts w:cs="Arial"/>
              </w:rPr>
            </w:pPr>
            <w:r>
              <w:rPr>
                <w:rFonts w:cs="Arial"/>
              </w:rPr>
              <w:t xml:space="preserve">Naked flames </w:t>
            </w:r>
          </w:p>
          <w:p w:rsidR="004D50DB" w:rsidRDefault="004D50DB">
            <w:pPr>
              <w:pStyle w:val="Akapitzlist"/>
              <w:spacing w:before="120"/>
              <w:ind w:left="317"/>
              <w:rPr>
                <w:rFonts w:cs="Arial"/>
              </w:rPr>
            </w:pPr>
            <w:r>
              <w:rPr>
                <w:rFonts w:cs="Arial"/>
              </w:rPr>
              <w:t>(burns &amp; scalds)</w:t>
            </w:r>
          </w:p>
          <w:p w:rsidR="004D50DB" w:rsidRDefault="004D50DB">
            <w:pPr>
              <w:pStyle w:val="Akapitzlist"/>
              <w:rPr>
                <w:rFonts w:cs="Arial"/>
                <w:lang w:eastAsia="en-IE"/>
              </w:rPr>
            </w:pPr>
          </w:p>
          <w:p w:rsidR="004D50DB" w:rsidRDefault="004D50DB">
            <w:pPr>
              <w:pStyle w:val="Akapitzlist"/>
              <w:spacing w:before="120"/>
              <w:ind w:left="317"/>
              <w:rPr>
                <w:rFonts w:cs="Arial"/>
              </w:rPr>
            </w:pPr>
          </w:p>
        </w:tc>
        <w:tc>
          <w:tcPr>
            <w:tcW w:w="1860" w:type="dxa"/>
            <w:tcBorders>
              <w:top w:val="single" w:sz="4" w:space="0" w:color="auto"/>
              <w:left w:val="single" w:sz="4" w:space="0" w:color="auto"/>
              <w:bottom w:val="single" w:sz="4" w:space="0" w:color="auto"/>
              <w:right w:val="single" w:sz="4" w:space="0" w:color="auto"/>
            </w:tcBorders>
          </w:tcPr>
          <w:p w:rsidR="004D50DB" w:rsidRDefault="004D50DB" w:rsidP="004D50DB">
            <w:pPr>
              <w:pStyle w:val="Style1"/>
              <w:numPr>
                <w:ilvl w:val="0"/>
                <w:numId w:val="47"/>
              </w:numPr>
              <w:kinsoku w:val="0"/>
              <w:autoSpaceDE/>
              <w:adjustRightInd/>
              <w:spacing w:before="120"/>
              <w:ind w:left="318" w:right="-60" w:hanging="318"/>
              <w:rPr>
                <w:rStyle w:val="CharacterStyle1"/>
                <w:rFonts w:ascii="Arial" w:hAnsi="Arial"/>
              </w:rPr>
            </w:pPr>
            <w:r>
              <w:rPr>
                <w:rStyle w:val="CharacterStyle1"/>
                <w:rFonts w:ascii="Arial" w:hAnsi="Arial" w:cs="Arial"/>
              </w:rPr>
              <w:t>Children</w:t>
            </w:r>
          </w:p>
          <w:p w:rsidR="004D50DB" w:rsidRDefault="004D50DB" w:rsidP="004D50DB">
            <w:pPr>
              <w:pStyle w:val="Style1"/>
              <w:numPr>
                <w:ilvl w:val="0"/>
                <w:numId w:val="47"/>
              </w:numPr>
              <w:kinsoku w:val="0"/>
              <w:autoSpaceDE/>
              <w:adjustRightInd/>
              <w:spacing w:before="120"/>
              <w:ind w:left="318" w:right="-60" w:hanging="318"/>
              <w:rPr>
                <w:rStyle w:val="CharacterStyle1"/>
                <w:rFonts w:ascii="Arial" w:hAnsi="Arial" w:cs="Arial"/>
              </w:rPr>
            </w:pPr>
            <w:r>
              <w:rPr>
                <w:rStyle w:val="CharacterStyle1"/>
                <w:rFonts w:ascii="Arial" w:hAnsi="Arial" w:cs="Arial"/>
              </w:rPr>
              <w:t>Staff</w:t>
            </w:r>
          </w:p>
          <w:p w:rsidR="004D50DB" w:rsidRDefault="004D50DB" w:rsidP="004D50DB">
            <w:pPr>
              <w:pStyle w:val="Style1"/>
              <w:numPr>
                <w:ilvl w:val="0"/>
                <w:numId w:val="47"/>
              </w:numPr>
              <w:kinsoku w:val="0"/>
              <w:autoSpaceDE/>
              <w:adjustRightInd/>
              <w:spacing w:before="120"/>
              <w:ind w:left="318" w:right="-60" w:hanging="318"/>
              <w:rPr>
                <w:rStyle w:val="CharacterStyle1"/>
                <w:rFonts w:ascii="Arial" w:hAnsi="Arial" w:cs="Arial"/>
              </w:rPr>
            </w:pPr>
            <w:r>
              <w:rPr>
                <w:rStyle w:val="CharacterStyle1"/>
                <w:rFonts w:ascii="Arial" w:hAnsi="Arial" w:cs="Arial"/>
              </w:rPr>
              <w:t>Parents</w:t>
            </w:r>
          </w:p>
          <w:p w:rsidR="004D50DB" w:rsidRDefault="004D50DB" w:rsidP="004D50DB">
            <w:pPr>
              <w:pStyle w:val="Style1"/>
              <w:numPr>
                <w:ilvl w:val="0"/>
                <w:numId w:val="47"/>
              </w:numPr>
              <w:kinsoku w:val="0"/>
              <w:autoSpaceDE/>
              <w:adjustRightInd/>
              <w:spacing w:before="120"/>
              <w:ind w:left="318" w:right="-60" w:hanging="318"/>
              <w:rPr>
                <w:rStyle w:val="CharacterStyle1"/>
                <w:rFonts w:ascii="Arial" w:hAnsi="Arial" w:cs="Arial"/>
              </w:rPr>
            </w:pPr>
            <w:r>
              <w:rPr>
                <w:rStyle w:val="CharacterStyle1"/>
                <w:rFonts w:ascii="Arial" w:hAnsi="Arial" w:cs="Arial"/>
              </w:rPr>
              <w:t>Guardians</w:t>
            </w:r>
          </w:p>
          <w:p w:rsidR="004D50DB" w:rsidRDefault="004D50DB" w:rsidP="004D50DB">
            <w:pPr>
              <w:pStyle w:val="Style1"/>
              <w:numPr>
                <w:ilvl w:val="0"/>
                <w:numId w:val="47"/>
              </w:numPr>
              <w:kinsoku w:val="0"/>
              <w:autoSpaceDE/>
              <w:adjustRightInd/>
              <w:spacing w:before="120"/>
              <w:ind w:left="318" w:right="-60" w:hanging="318"/>
              <w:rPr>
                <w:rStyle w:val="CharacterStyle1"/>
                <w:rFonts w:ascii="Arial" w:hAnsi="Arial" w:cs="Arial"/>
              </w:rPr>
            </w:pPr>
            <w:r>
              <w:rPr>
                <w:rStyle w:val="CharacterStyle1"/>
                <w:rFonts w:ascii="Arial" w:hAnsi="Arial" w:cs="Arial"/>
              </w:rPr>
              <w:t xml:space="preserve">Visitors </w:t>
            </w:r>
          </w:p>
          <w:p w:rsidR="004D50DB" w:rsidRDefault="004D50DB">
            <w:pPr>
              <w:pStyle w:val="Style1"/>
              <w:kinsoku w:val="0"/>
              <w:autoSpaceDE/>
              <w:adjustRightInd/>
              <w:spacing w:before="120"/>
              <w:ind w:left="318" w:right="-60" w:hanging="318"/>
            </w:pPr>
          </w:p>
        </w:tc>
        <w:tc>
          <w:tcPr>
            <w:tcW w:w="5068" w:type="dxa"/>
            <w:tcBorders>
              <w:top w:val="single" w:sz="4" w:space="0" w:color="auto"/>
              <w:left w:val="single" w:sz="4" w:space="0" w:color="auto"/>
              <w:bottom w:val="single" w:sz="4" w:space="0" w:color="auto"/>
              <w:right w:val="single" w:sz="4" w:space="0" w:color="auto"/>
            </w:tcBorders>
          </w:tcPr>
          <w:p w:rsidR="004D50DB" w:rsidRDefault="004D50DB" w:rsidP="004D50DB">
            <w:pPr>
              <w:pStyle w:val="Style3"/>
              <w:numPr>
                <w:ilvl w:val="0"/>
                <w:numId w:val="48"/>
              </w:numPr>
              <w:kinsoku w:val="0"/>
              <w:autoSpaceDE/>
              <w:spacing w:before="120"/>
              <w:ind w:left="317" w:hanging="283"/>
              <w:rPr>
                <w:rStyle w:val="CharacterStyle20"/>
                <w:rFonts w:ascii="Arial" w:hAnsi="Arial" w:cs="Arial"/>
              </w:rPr>
            </w:pPr>
            <w:r>
              <w:rPr>
                <w:rStyle w:val="CharacterStyle20"/>
                <w:rFonts w:ascii="Arial" w:hAnsi="Arial" w:cs="Arial"/>
              </w:rPr>
              <w:t>Access to heating controls is prohibited to children / parents / guardians / visitors.</w:t>
            </w:r>
          </w:p>
          <w:p w:rsidR="004D50DB" w:rsidRDefault="004D50DB" w:rsidP="004D50DB">
            <w:pPr>
              <w:pStyle w:val="Style1"/>
              <w:numPr>
                <w:ilvl w:val="0"/>
                <w:numId w:val="48"/>
              </w:numPr>
              <w:kinsoku w:val="0"/>
              <w:autoSpaceDE/>
              <w:adjustRightInd/>
              <w:spacing w:before="120"/>
              <w:ind w:left="317" w:hanging="283"/>
              <w:rPr>
                <w:rStyle w:val="CharacterStyle1"/>
              </w:rPr>
            </w:pPr>
            <w:r>
              <w:rPr>
                <w:rStyle w:val="CharacterStyle1"/>
                <w:rFonts w:ascii="Arial" w:hAnsi="Arial" w:cs="Arial"/>
              </w:rPr>
              <w:t>Staff to be made aware of use of heating controls by Management, including any emergency cut-off.</w:t>
            </w:r>
          </w:p>
          <w:p w:rsidR="004D50DB" w:rsidRDefault="004D50DB" w:rsidP="004D50DB">
            <w:pPr>
              <w:pStyle w:val="Style3"/>
              <w:numPr>
                <w:ilvl w:val="0"/>
                <w:numId w:val="48"/>
              </w:numPr>
              <w:kinsoku w:val="0"/>
              <w:autoSpaceDE/>
              <w:spacing w:before="120"/>
              <w:ind w:left="317" w:hanging="283"/>
              <w:rPr>
                <w:rStyle w:val="CharacterStyle20"/>
                <w:rFonts w:ascii="Arial" w:hAnsi="Arial" w:cs="Arial"/>
              </w:rPr>
            </w:pPr>
            <w:r>
              <w:rPr>
                <w:rStyle w:val="CharacterStyle20"/>
                <w:rFonts w:ascii="Arial" w:hAnsi="Arial" w:cs="Arial"/>
              </w:rPr>
              <w:t xml:space="preserve">Radiators covered or thermostatically controlled </w:t>
            </w:r>
          </w:p>
          <w:p w:rsidR="004D50DB" w:rsidRDefault="004D50DB" w:rsidP="004D50DB">
            <w:pPr>
              <w:pStyle w:val="Style3"/>
              <w:numPr>
                <w:ilvl w:val="0"/>
                <w:numId w:val="48"/>
              </w:numPr>
              <w:kinsoku w:val="0"/>
              <w:autoSpaceDE/>
              <w:spacing w:before="120"/>
              <w:ind w:left="317" w:hanging="283"/>
              <w:rPr>
                <w:rStyle w:val="CharacterStyle20"/>
                <w:rFonts w:ascii="Arial" w:hAnsi="Arial" w:cs="Arial"/>
              </w:rPr>
            </w:pPr>
            <w:r>
              <w:rPr>
                <w:rStyle w:val="CharacterStyle20"/>
                <w:rFonts w:ascii="Arial" w:hAnsi="Arial" w:cs="Arial"/>
              </w:rPr>
              <w:t xml:space="preserve">Children must not have access to boiling water system, </w:t>
            </w:r>
            <w:r w:rsidR="00A8658E">
              <w:rPr>
                <w:rStyle w:val="CharacterStyle20"/>
                <w:rFonts w:ascii="Arial" w:hAnsi="Arial" w:cs="Arial"/>
              </w:rPr>
              <w:t xml:space="preserve">e.g. kettles. </w:t>
            </w:r>
            <w:r>
              <w:rPr>
                <w:rStyle w:val="CharacterStyle20"/>
                <w:rFonts w:ascii="Arial" w:hAnsi="Arial" w:cs="Arial"/>
              </w:rPr>
              <w:t xml:space="preserve"> Kitchen gate is kept closed at all times </w:t>
            </w:r>
          </w:p>
          <w:p w:rsidR="004D50DB" w:rsidRDefault="004D50DB" w:rsidP="004D50DB">
            <w:pPr>
              <w:pStyle w:val="Style3"/>
              <w:numPr>
                <w:ilvl w:val="0"/>
                <w:numId w:val="48"/>
              </w:numPr>
              <w:kinsoku w:val="0"/>
              <w:autoSpaceDE/>
              <w:spacing w:before="120"/>
              <w:ind w:left="317" w:hanging="283"/>
              <w:rPr>
                <w:rStyle w:val="CharacterStyle1"/>
              </w:rPr>
            </w:pPr>
            <w:r>
              <w:rPr>
                <w:rStyle w:val="CharacterStyle20"/>
                <w:rFonts w:ascii="Arial" w:hAnsi="Arial" w:cs="Arial"/>
              </w:rPr>
              <w:t xml:space="preserve">Hot water is controlled thermostatically and any overheating of water to be reported to </w:t>
            </w:r>
            <w:r>
              <w:rPr>
                <w:rStyle w:val="CharacterStyle1"/>
                <w:rFonts w:ascii="Arial" w:hAnsi="Arial" w:cs="Arial"/>
              </w:rPr>
              <w:t>Management.</w:t>
            </w:r>
          </w:p>
          <w:p w:rsidR="004D50DB" w:rsidRDefault="004D50DB" w:rsidP="004D50DB">
            <w:pPr>
              <w:pStyle w:val="Style3"/>
              <w:numPr>
                <w:ilvl w:val="0"/>
                <w:numId w:val="48"/>
              </w:numPr>
              <w:kinsoku w:val="0"/>
              <w:autoSpaceDE/>
              <w:spacing w:before="120"/>
              <w:ind w:left="317" w:hanging="283"/>
              <w:rPr>
                <w:rStyle w:val="CharacterStyle1"/>
                <w:rFonts w:ascii="Arial" w:hAnsi="Arial" w:cs="Arial"/>
              </w:rPr>
            </w:pPr>
            <w:r>
              <w:rPr>
                <w:rStyle w:val="CharacterStyle1"/>
                <w:rFonts w:ascii="Arial" w:hAnsi="Arial" w:cs="Arial"/>
              </w:rPr>
              <w:t>Only authorised, competent contractors, nominated by Management, are permitted to work on heating / boiler / plumbing systems.</w:t>
            </w:r>
          </w:p>
          <w:p w:rsidR="004D50DB" w:rsidRDefault="004D50DB" w:rsidP="004D50DB">
            <w:pPr>
              <w:pStyle w:val="Style3"/>
              <w:numPr>
                <w:ilvl w:val="0"/>
                <w:numId w:val="48"/>
              </w:numPr>
              <w:kinsoku w:val="0"/>
              <w:autoSpaceDE/>
              <w:spacing w:before="120"/>
              <w:ind w:left="317" w:hanging="283"/>
              <w:rPr>
                <w:rStyle w:val="CharacterStyle1"/>
                <w:rFonts w:ascii="Arial" w:hAnsi="Arial" w:cs="Arial"/>
              </w:rPr>
            </w:pPr>
            <w:r>
              <w:rPr>
                <w:rStyle w:val="CharacterStyle1"/>
                <w:rFonts w:ascii="Arial" w:hAnsi="Arial" w:cs="Arial"/>
              </w:rPr>
              <w:t xml:space="preserve">Hot drinks will never be brought into children’s area. </w:t>
            </w:r>
          </w:p>
          <w:p w:rsidR="004D50DB" w:rsidRDefault="004D50DB" w:rsidP="004D50DB">
            <w:pPr>
              <w:pStyle w:val="Style3"/>
              <w:numPr>
                <w:ilvl w:val="0"/>
                <w:numId w:val="48"/>
              </w:numPr>
              <w:kinsoku w:val="0"/>
              <w:autoSpaceDE/>
              <w:spacing w:before="120"/>
              <w:ind w:left="317" w:hanging="283"/>
              <w:rPr>
                <w:rStyle w:val="CharacterStyle1"/>
                <w:rFonts w:ascii="Arial" w:hAnsi="Arial" w:cs="Arial"/>
              </w:rPr>
            </w:pPr>
            <w:r>
              <w:rPr>
                <w:rStyle w:val="CharacterStyle1"/>
                <w:rFonts w:ascii="Arial" w:hAnsi="Arial" w:cs="Arial"/>
              </w:rPr>
              <w:t xml:space="preserve">Tap water in toilet area will be thermostatically controlled to 43 degrees. </w:t>
            </w:r>
          </w:p>
          <w:p w:rsidR="004D50DB" w:rsidRDefault="004D50DB">
            <w:pPr>
              <w:spacing w:before="120"/>
              <w:ind w:left="317" w:hanging="283"/>
            </w:pPr>
          </w:p>
        </w:tc>
        <w:tc>
          <w:tcPr>
            <w:tcW w:w="4884" w:type="dxa"/>
            <w:tcBorders>
              <w:top w:val="single" w:sz="4" w:space="0" w:color="auto"/>
              <w:left w:val="single" w:sz="4" w:space="0" w:color="auto"/>
              <w:bottom w:val="single" w:sz="4" w:space="0" w:color="auto"/>
              <w:right w:val="single" w:sz="4" w:space="0" w:color="auto"/>
            </w:tcBorders>
          </w:tcPr>
          <w:p w:rsidR="004D50DB" w:rsidRDefault="004D50DB">
            <w:pPr>
              <w:ind w:left="0"/>
            </w:pPr>
          </w:p>
          <w:p w:rsidR="00A8658E" w:rsidRDefault="00A8658E">
            <w:pPr>
              <w:ind w:left="0"/>
            </w:pPr>
          </w:p>
          <w:p w:rsidR="00A8658E" w:rsidRDefault="00A8658E">
            <w:pPr>
              <w:ind w:left="0"/>
            </w:pPr>
          </w:p>
          <w:p w:rsidR="00A8658E" w:rsidRDefault="00A8658E">
            <w:pPr>
              <w:ind w:left="0"/>
            </w:pPr>
          </w:p>
          <w:p w:rsidR="00A8658E" w:rsidRDefault="00A8658E">
            <w:pPr>
              <w:ind w:left="0"/>
            </w:pPr>
          </w:p>
          <w:p w:rsidR="00A8658E" w:rsidRDefault="00A8658E">
            <w:pPr>
              <w:ind w:left="0"/>
            </w:pPr>
          </w:p>
          <w:p w:rsidR="00A8658E" w:rsidRDefault="00A8658E">
            <w:pPr>
              <w:ind w:left="0"/>
            </w:pPr>
          </w:p>
          <w:p w:rsidR="00A8658E" w:rsidRPr="00A8658E" w:rsidRDefault="00476BCA">
            <w:pPr>
              <w:ind w:left="0"/>
              <w:rPr>
                <w:color w:val="4F6228" w:themeColor="accent3" w:themeShade="80"/>
              </w:rPr>
            </w:pPr>
            <w:r>
              <w:rPr>
                <w:color w:val="4F6228" w:themeColor="accent3" w:themeShade="80"/>
              </w:rPr>
              <w:t>New k</w:t>
            </w:r>
            <w:r w:rsidR="00A8658E" w:rsidRPr="00A8658E">
              <w:rPr>
                <w:color w:val="4F6228" w:themeColor="accent3" w:themeShade="80"/>
              </w:rPr>
              <w:t>itchen gate</w:t>
            </w:r>
          </w:p>
        </w:tc>
      </w:tr>
      <w:tr w:rsidR="004D50DB" w:rsidRPr="004D50DB" w:rsidTr="004D50DB">
        <w:tc>
          <w:tcPr>
            <w:tcW w:w="2676" w:type="dxa"/>
            <w:tcBorders>
              <w:top w:val="single" w:sz="4" w:space="0" w:color="auto"/>
              <w:left w:val="single" w:sz="4" w:space="0" w:color="auto"/>
              <w:bottom w:val="single" w:sz="4" w:space="0" w:color="auto"/>
              <w:right w:val="single" w:sz="4" w:space="0" w:color="auto"/>
            </w:tcBorders>
            <w:hideMark/>
          </w:tcPr>
          <w:p w:rsidR="004D50DB" w:rsidRDefault="004D50DB">
            <w:pPr>
              <w:ind w:left="0"/>
              <w:rPr>
                <w:b/>
              </w:rPr>
            </w:pPr>
            <w:r>
              <w:rPr>
                <w:b/>
              </w:rPr>
              <w:t xml:space="preserve">FINAL ASSESSMENT </w:t>
            </w:r>
          </w:p>
        </w:tc>
        <w:tc>
          <w:tcPr>
            <w:tcW w:w="11812" w:type="dxa"/>
            <w:gridSpan w:val="3"/>
            <w:tcBorders>
              <w:top w:val="single" w:sz="4" w:space="0" w:color="auto"/>
              <w:left w:val="single" w:sz="4" w:space="0" w:color="auto"/>
              <w:bottom w:val="single" w:sz="4" w:space="0" w:color="auto"/>
              <w:right w:val="single" w:sz="4" w:space="0" w:color="auto"/>
            </w:tcBorders>
          </w:tcPr>
          <w:p w:rsidR="004D50DB" w:rsidRDefault="004D50DB">
            <w:pPr>
              <w:ind w:left="0"/>
              <w:rPr>
                <w:rFonts w:cs="Arial"/>
                <w:b/>
                <w:sz w:val="24"/>
                <w:szCs w:val="24"/>
              </w:rPr>
            </w:pPr>
            <w:r>
              <w:rPr>
                <w:b/>
              </w:rPr>
              <w:t xml:space="preserve">OVERALL RISK:  </w:t>
            </w:r>
            <w:r>
              <w:rPr>
                <w:rFonts w:cs="Arial"/>
                <w:b/>
                <w:sz w:val="24"/>
                <w:szCs w:val="24"/>
              </w:rPr>
              <w:t>LOW - as long as all ‘Actions’ are in place</w:t>
            </w:r>
          </w:p>
          <w:p w:rsidR="004D50DB" w:rsidRDefault="004D50DB">
            <w:pPr>
              <w:ind w:left="0"/>
              <w:rPr>
                <w:b/>
              </w:rPr>
            </w:pPr>
          </w:p>
        </w:tc>
      </w:tr>
    </w:tbl>
    <w:p w:rsidR="004D50DB" w:rsidRDefault="004D50DB" w:rsidP="004D50DB">
      <w:pPr>
        <w:ind w:left="0"/>
        <w:rPr>
          <w:rFonts w:eastAsia="Calibri" w:cs="Arial"/>
          <w:b/>
          <w:bCs/>
          <w:sz w:val="24"/>
          <w:szCs w:val="24"/>
        </w:rPr>
      </w:pPr>
    </w:p>
    <w:p w:rsidR="004D50DB" w:rsidRDefault="004D50DB" w:rsidP="004D50DB">
      <w:pPr>
        <w:ind w:left="0"/>
        <w:rPr>
          <w:rFonts w:eastAsia="Calibri" w:cs="Arial"/>
          <w:b/>
          <w:bCs/>
          <w:sz w:val="24"/>
          <w:szCs w:val="24"/>
        </w:rPr>
      </w:pPr>
    </w:p>
    <w:p w:rsidR="004D50DB" w:rsidRDefault="004D50DB" w:rsidP="004D50DB">
      <w:pPr>
        <w:ind w:left="0"/>
        <w:rPr>
          <w:rFonts w:eastAsia="Calibri" w:cs="Arial"/>
          <w:b/>
          <w:bCs/>
          <w:sz w:val="24"/>
          <w:szCs w:val="24"/>
        </w:rPr>
      </w:pPr>
    </w:p>
    <w:p w:rsidR="004D50DB" w:rsidRDefault="004D50DB" w:rsidP="004D50DB">
      <w:pPr>
        <w:ind w:left="0"/>
        <w:rPr>
          <w:rFonts w:eastAsia="Calibri" w:cs="Arial"/>
          <w:b/>
          <w:bCs/>
          <w:sz w:val="24"/>
          <w:szCs w:val="24"/>
        </w:rPr>
      </w:pPr>
    </w:p>
    <w:p w:rsidR="004D50DB" w:rsidRDefault="004D50DB" w:rsidP="004D50DB">
      <w:pPr>
        <w:ind w:left="0"/>
        <w:rPr>
          <w:rFonts w:eastAsia="Calibri" w:cs="Arial"/>
          <w:b/>
          <w:bCs/>
          <w:sz w:val="24"/>
          <w:szCs w:val="24"/>
        </w:rPr>
      </w:pPr>
    </w:p>
    <w:p w:rsidR="004D50DB" w:rsidRDefault="004D50DB" w:rsidP="004D50DB">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4D50DB" w:rsidRDefault="004D50DB" w:rsidP="004D50DB">
      <w:pPr>
        <w:pStyle w:val="Style3"/>
        <w:tabs>
          <w:tab w:val="left" w:pos="1134"/>
          <w:tab w:val="right" w:pos="8572"/>
        </w:tabs>
        <w:kinsoku w:val="0"/>
        <w:autoSpaceDE/>
        <w:ind w:left="0" w:right="-648"/>
        <w:rPr>
          <w:rStyle w:val="CharacterStyle20"/>
          <w:sz w:val="16"/>
          <w:szCs w:val="16"/>
        </w:rPr>
      </w:pPr>
    </w:p>
    <w:p w:rsidR="004D50DB" w:rsidRDefault="004D50DB" w:rsidP="004D50DB">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4D50DB" w:rsidRDefault="004D50DB" w:rsidP="004D50DB">
      <w:pPr>
        <w:pStyle w:val="Style3"/>
        <w:tabs>
          <w:tab w:val="left" w:pos="1134"/>
          <w:tab w:val="right" w:pos="8572"/>
        </w:tabs>
        <w:kinsoku w:val="0"/>
        <w:autoSpaceDE/>
        <w:ind w:left="0" w:right="-648"/>
        <w:rPr>
          <w:rStyle w:val="CharacterStyle20"/>
          <w:sz w:val="16"/>
          <w:szCs w:val="16"/>
        </w:rPr>
      </w:pPr>
    </w:p>
    <w:p w:rsidR="004D50DB" w:rsidRDefault="004D50DB" w:rsidP="004D50DB">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4D50DB" w:rsidRDefault="004D50DB" w:rsidP="004D50DB">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4D50DB" w:rsidRDefault="004D50DB" w:rsidP="004D50DB">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4D50DB" w:rsidRDefault="004D50DB" w:rsidP="004D50DB">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4D50DB" w:rsidRDefault="004D50DB" w:rsidP="004D50DB">
      <w:pPr>
        <w:ind w:left="0"/>
      </w:pPr>
    </w:p>
    <w:p w:rsidR="004D50DB" w:rsidRDefault="004D50DB" w:rsidP="004D50DB">
      <w:pPr>
        <w:ind w:left="0"/>
        <w:rPr>
          <w:sz w:val="16"/>
          <w:szCs w:val="16"/>
        </w:rPr>
      </w:pPr>
      <w:r>
        <w:rPr>
          <w:sz w:val="16"/>
          <w:szCs w:val="16"/>
        </w:rPr>
        <w:t xml:space="preserve">Note:  Daily Risk Checks should be done and are part of this pack </w:t>
      </w:r>
    </w:p>
    <w:p w:rsidR="00A8658E" w:rsidRDefault="00A8658E" w:rsidP="004D50DB">
      <w:pPr>
        <w:ind w:left="0"/>
        <w:rPr>
          <w:sz w:val="16"/>
          <w:szCs w:val="16"/>
        </w:rPr>
      </w:pPr>
    </w:p>
    <w:tbl>
      <w:tblPr>
        <w:tblStyle w:val="Tabela-Siatka"/>
        <w:tblW w:w="0" w:type="auto"/>
        <w:tblLook w:val="04A0"/>
      </w:tblPr>
      <w:tblGrid>
        <w:gridCol w:w="3729"/>
        <w:gridCol w:w="3675"/>
        <w:gridCol w:w="3682"/>
        <w:gridCol w:w="3536"/>
      </w:tblGrid>
      <w:tr w:rsidR="00A8658E" w:rsidRPr="007435D9" w:rsidTr="00B75996">
        <w:tc>
          <w:tcPr>
            <w:tcW w:w="3729" w:type="dxa"/>
          </w:tcPr>
          <w:p w:rsidR="00A8658E" w:rsidRPr="007435D9" w:rsidRDefault="00A8658E" w:rsidP="00B75996">
            <w:pPr>
              <w:ind w:left="0"/>
              <w:rPr>
                <w:rStyle w:val="CharacterStyle20"/>
                <w:b/>
                <w:sz w:val="18"/>
                <w:szCs w:val="18"/>
              </w:rPr>
            </w:pPr>
            <w:r w:rsidRPr="007435D9">
              <w:rPr>
                <w:rStyle w:val="CharacterStyle20"/>
                <w:b/>
                <w:sz w:val="18"/>
                <w:szCs w:val="18"/>
              </w:rPr>
              <w:t>Reviewed</w:t>
            </w:r>
          </w:p>
        </w:tc>
        <w:tc>
          <w:tcPr>
            <w:tcW w:w="3675" w:type="dxa"/>
          </w:tcPr>
          <w:p w:rsidR="00A8658E" w:rsidRPr="007435D9" w:rsidRDefault="00A8658E" w:rsidP="00B75996">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A8658E" w:rsidRPr="007435D9" w:rsidRDefault="00A8658E" w:rsidP="00B75996">
            <w:pPr>
              <w:ind w:left="0"/>
              <w:rPr>
                <w:rStyle w:val="CharacterStyle20"/>
                <w:b/>
                <w:sz w:val="18"/>
                <w:szCs w:val="18"/>
              </w:rPr>
            </w:pPr>
            <w:r w:rsidRPr="007435D9">
              <w:rPr>
                <w:rStyle w:val="CharacterStyle20"/>
                <w:b/>
                <w:sz w:val="18"/>
                <w:szCs w:val="18"/>
              </w:rPr>
              <w:t>By whom:</w:t>
            </w:r>
          </w:p>
        </w:tc>
        <w:tc>
          <w:tcPr>
            <w:tcW w:w="3536" w:type="dxa"/>
          </w:tcPr>
          <w:p w:rsidR="00A8658E" w:rsidRPr="007435D9" w:rsidRDefault="00A8658E" w:rsidP="00B75996">
            <w:pPr>
              <w:ind w:left="0"/>
              <w:rPr>
                <w:rStyle w:val="CharacterStyle20"/>
                <w:b/>
                <w:sz w:val="18"/>
                <w:szCs w:val="18"/>
              </w:rPr>
            </w:pPr>
            <w:r w:rsidRPr="007435D9">
              <w:rPr>
                <w:rStyle w:val="CharacterStyle20"/>
                <w:b/>
                <w:sz w:val="18"/>
                <w:szCs w:val="18"/>
              </w:rPr>
              <w:t xml:space="preserve">Final assessment/overall risk </w:t>
            </w:r>
          </w:p>
        </w:tc>
      </w:tr>
      <w:tr w:rsidR="00A8658E" w:rsidTr="00B75996">
        <w:tc>
          <w:tcPr>
            <w:tcW w:w="3729" w:type="dxa"/>
          </w:tcPr>
          <w:p w:rsidR="00A8658E" w:rsidRDefault="00A8658E" w:rsidP="00B75996">
            <w:pPr>
              <w:ind w:left="0"/>
              <w:rPr>
                <w:rStyle w:val="CharacterStyle20"/>
                <w:sz w:val="16"/>
                <w:szCs w:val="16"/>
              </w:rPr>
            </w:pPr>
            <w:r>
              <w:rPr>
                <w:rStyle w:val="CharacterStyle20"/>
                <w:sz w:val="16"/>
                <w:szCs w:val="16"/>
              </w:rPr>
              <w:t>Reviewed</w:t>
            </w:r>
          </w:p>
        </w:tc>
        <w:tc>
          <w:tcPr>
            <w:tcW w:w="3675" w:type="dxa"/>
          </w:tcPr>
          <w:p w:rsidR="00A8658E" w:rsidRDefault="00A8658E" w:rsidP="00B75996">
            <w:pPr>
              <w:ind w:left="0"/>
              <w:rPr>
                <w:rStyle w:val="CharacterStyle20"/>
                <w:sz w:val="16"/>
                <w:szCs w:val="16"/>
              </w:rPr>
            </w:pPr>
            <w:r>
              <w:rPr>
                <w:rStyle w:val="CharacterStyle20"/>
                <w:sz w:val="16"/>
                <w:szCs w:val="16"/>
              </w:rPr>
              <w:t>22/08/2019</w:t>
            </w:r>
          </w:p>
        </w:tc>
        <w:tc>
          <w:tcPr>
            <w:tcW w:w="3682" w:type="dxa"/>
          </w:tcPr>
          <w:p w:rsidR="00A8658E" w:rsidRDefault="00A8658E"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8658E" w:rsidRDefault="00A8658E" w:rsidP="00B75996">
            <w:pPr>
              <w:ind w:left="0"/>
              <w:rPr>
                <w:rStyle w:val="CharacterStyle20"/>
                <w:sz w:val="16"/>
                <w:szCs w:val="16"/>
              </w:rPr>
            </w:pPr>
            <w:r>
              <w:rPr>
                <w:rStyle w:val="CharacterStyle20"/>
                <w:sz w:val="16"/>
                <w:szCs w:val="16"/>
              </w:rPr>
              <w:t>Low-all actions are in place</w:t>
            </w:r>
          </w:p>
        </w:tc>
      </w:tr>
      <w:tr w:rsidR="00A8658E" w:rsidTr="00B75996">
        <w:tc>
          <w:tcPr>
            <w:tcW w:w="3729" w:type="dxa"/>
          </w:tcPr>
          <w:p w:rsidR="00A8658E" w:rsidRPr="00A8658E" w:rsidRDefault="00A8658E" w:rsidP="00B75996">
            <w:pPr>
              <w:ind w:left="0"/>
              <w:rPr>
                <w:rStyle w:val="CharacterStyle20"/>
                <w:color w:val="4F6228" w:themeColor="accent3" w:themeShade="80"/>
                <w:sz w:val="16"/>
                <w:szCs w:val="16"/>
              </w:rPr>
            </w:pPr>
            <w:r w:rsidRPr="00A8658E">
              <w:rPr>
                <w:rStyle w:val="CharacterStyle20"/>
                <w:color w:val="4F6228" w:themeColor="accent3" w:themeShade="80"/>
                <w:sz w:val="16"/>
                <w:szCs w:val="16"/>
              </w:rPr>
              <w:t xml:space="preserve">Reviewed </w:t>
            </w:r>
            <w:r>
              <w:rPr>
                <w:rStyle w:val="CharacterStyle20"/>
                <w:color w:val="4F6228" w:themeColor="accent3" w:themeShade="80"/>
                <w:sz w:val="16"/>
                <w:szCs w:val="16"/>
              </w:rPr>
              <w:t>–the changes are marked in green</w:t>
            </w:r>
          </w:p>
        </w:tc>
        <w:tc>
          <w:tcPr>
            <w:tcW w:w="3675" w:type="dxa"/>
          </w:tcPr>
          <w:p w:rsidR="00A8658E" w:rsidRDefault="00A8658E" w:rsidP="00B75996">
            <w:pPr>
              <w:ind w:left="0"/>
              <w:rPr>
                <w:rStyle w:val="CharacterStyle20"/>
                <w:sz w:val="16"/>
                <w:szCs w:val="16"/>
              </w:rPr>
            </w:pPr>
            <w:r>
              <w:rPr>
                <w:rStyle w:val="CharacterStyle20"/>
                <w:sz w:val="16"/>
                <w:szCs w:val="16"/>
              </w:rPr>
              <w:t>28/02/2020</w:t>
            </w:r>
          </w:p>
        </w:tc>
        <w:tc>
          <w:tcPr>
            <w:tcW w:w="3682" w:type="dxa"/>
          </w:tcPr>
          <w:p w:rsidR="00A8658E" w:rsidRDefault="00A8658E"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8658E" w:rsidRDefault="00A8658E" w:rsidP="00B75996">
            <w:pPr>
              <w:ind w:left="0"/>
              <w:rPr>
                <w:rStyle w:val="CharacterStyle20"/>
                <w:sz w:val="16"/>
                <w:szCs w:val="16"/>
              </w:rPr>
            </w:pPr>
            <w:r>
              <w:rPr>
                <w:rStyle w:val="CharacterStyle20"/>
                <w:sz w:val="16"/>
                <w:szCs w:val="16"/>
              </w:rPr>
              <w:t>Low- all actions are in place</w:t>
            </w:r>
          </w:p>
        </w:tc>
      </w:tr>
      <w:tr w:rsidR="00A8658E" w:rsidTr="00B75996">
        <w:tc>
          <w:tcPr>
            <w:tcW w:w="3729" w:type="dxa"/>
          </w:tcPr>
          <w:p w:rsidR="00A8658E" w:rsidRPr="006548D4" w:rsidRDefault="00A8658E" w:rsidP="00B75996">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A8658E" w:rsidRDefault="00A8658E" w:rsidP="00B75996">
            <w:pPr>
              <w:ind w:left="0"/>
              <w:rPr>
                <w:rStyle w:val="CharacterStyle20"/>
                <w:sz w:val="16"/>
                <w:szCs w:val="16"/>
              </w:rPr>
            </w:pPr>
            <w:r>
              <w:rPr>
                <w:rStyle w:val="CharacterStyle20"/>
                <w:sz w:val="16"/>
                <w:szCs w:val="16"/>
              </w:rPr>
              <w:t xml:space="preserve">June 2020 </w:t>
            </w:r>
          </w:p>
        </w:tc>
        <w:tc>
          <w:tcPr>
            <w:tcW w:w="3682" w:type="dxa"/>
          </w:tcPr>
          <w:p w:rsidR="00A8658E" w:rsidRDefault="00A8658E"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8658E" w:rsidRDefault="00A8658E" w:rsidP="00B75996">
            <w:pPr>
              <w:ind w:left="0"/>
              <w:rPr>
                <w:rStyle w:val="CharacterStyle20"/>
                <w:sz w:val="16"/>
                <w:szCs w:val="16"/>
              </w:rPr>
            </w:pPr>
            <w:r>
              <w:rPr>
                <w:rStyle w:val="CharacterStyle20"/>
                <w:sz w:val="16"/>
                <w:szCs w:val="16"/>
              </w:rPr>
              <w:t>Low-all actions are in place</w:t>
            </w:r>
          </w:p>
        </w:tc>
      </w:tr>
      <w:tr w:rsidR="00A8658E" w:rsidTr="00B75996">
        <w:tc>
          <w:tcPr>
            <w:tcW w:w="3729" w:type="dxa"/>
          </w:tcPr>
          <w:p w:rsidR="00A8658E" w:rsidRDefault="00A8658E" w:rsidP="00B75996">
            <w:pPr>
              <w:ind w:left="0"/>
              <w:rPr>
                <w:rStyle w:val="CharacterStyle20"/>
                <w:sz w:val="16"/>
                <w:szCs w:val="16"/>
              </w:rPr>
            </w:pPr>
          </w:p>
        </w:tc>
        <w:tc>
          <w:tcPr>
            <w:tcW w:w="3675" w:type="dxa"/>
          </w:tcPr>
          <w:p w:rsidR="00A8658E" w:rsidRDefault="00A8658E" w:rsidP="00B75996">
            <w:pPr>
              <w:ind w:left="0"/>
              <w:rPr>
                <w:rStyle w:val="CharacterStyle20"/>
                <w:sz w:val="16"/>
                <w:szCs w:val="16"/>
              </w:rPr>
            </w:pPr>
          </w:p>
        </w:tc>
        <w:tc>
          <w:tcPr>
            <w:tcW w:w="3682" w:type="dxa"/>
          </w:tcPr>
          <w:p w:rsidR="00A8658E" w:rsidRDefault="00A8658E" w:rsidP="00B75996">
            <w:pPr>
              <w:ind w:left="0"/>
              <w:rPr>
                <w:rStyle w:val="CharacterStyle20"/>
                <w:sz w:val="16"/>
                <w:szCs w:val="16"/>
              </w:rPr>
            </w:pPr>
          </w:p>
        </w:tc>
        <w:tc>
          <w:tcPr>
            <w:tcW w:w="3536" w:type="dxa"/>
          </w:tcPr>
          <w:p w:rsidR="00A8658E" w:rsidRDefault="00A8658E" w:rsidP="00B75996">
            <w:pPr>
              <w:ind w:left="0"/>
              <w:rPr>
                <w:rStyle w:val="CharacterStyle20"/>
                <w:sz w:val="16"/>
                <w:szCs w:val="16"/>
              </w:rPr>
            </w:pPr>
          </w:p>
        </w:tc>
      </w:tr>
      <w:tr w:rsidR="00A8658E" w:rsidTr="00B75996">
        <w:tc>
          <w:tcPr>
            <w:tcW w:w="3729" w:type="dxa"/>
          </w:tcPr>
          <w:p w:rsidR="00A8658E" w:rsidRDefault="00A8658E" w:rsidP="00B75996">
            <w:pPr>
              <w:ind w:left="0"/>
              <w:rPr>
                <w:rStyle w:val="CharacterStyle20"/>
                <w:sz w:val="16"/>
                <w:szCs w:val="16"/>
              </w:rPr>
            </w:pPr>
          </w:p>
        </w:tc>
        <w:tc>
          <w:tcPr>
            <w:tcW w:w="3675" w:type="dxa"/>
          </w:tcPr>
          <w:p w:rsidR="00A8658E" w:rsidRDefault="00A8658E" w:rsidP="00B75996">
            <w:pPr>
              <w:ind w:left="0"/>
              <w:rPr>
                <w:rStyle w:val="CharacterStyle20"/>
                <w:sz w:val="16"/>
                <w:szCs w:val="16"/>
              </w:rPr>
            </w:pPr>
          </w:p>
        </w:tc>
        <w:tc>
          <w:tcPr>
            <w:tcW w:w="3682" w:type="dxa"/>
          </w:tcPr>
          <w:p w:rsidR="00A8658E" w:rsidRDefault="00A8658E" w:rsidP="00B75996">
            <w:pPr>
              <w:ind w:left="0"/>
              <w:rPr>
                <w:rStyle w:val="CharacterStyle20"/>
                <w:sz w:val="16"/>
                <w:szCs w:val="16"/>
              </w:rPr>
            </w:pPr>
          </w:p>
        </w:tc>
        <w:tc>
          <w:tcPr>
            <w:tcW w:w="3536" w:type="dxa"/>
          </w:tcPr>
          <w:p w:rsidR="00A8658E" w:rsidRDefault="00A8658E" w:rsidP="00B75996">
            <w:pPr>
              <w:ind w:left="0"/>
              <w:rPr>
                <w:rStyle w:val="CharacterStyle20"/>
                <w:sz w:val="16"/>
                <w:szCs w:val="16"/>
              </w:rPr>
            </w:pPr>
          </w:p>
        </w:tc>
      </w:tr>
    </w:tbl>
    <w:p w:rsidR="00A8658E" w:rsidRDefault="00A8658E" w:rsidP="004D50DB">
      <w:pPr>
        <w:ind w:left="0"/>
        <w:rPr>
          <w:sz w:val="16"/>
          <w:szCs w:val="16"/>
        </w:rPr>
      </w:pPr>
    </w:p>
    <w:p w:rsidR="004D50DB" w:rsidRDefault="004D50DB" w:rsidP="004D50DB">
      <w:pPr>
        <w:ind w:left="0"/>
        <w:rPr>
          <w:rFonts w:eastAsia="Calibri" w:cs="Arial"/>
          <w:b/>
          <w:bCs/>
          <w:sz w:val="24"/>
          <w:szCs w:val="24"/>
        </w:rPr>
      </w:pPr>
    </w:p>
    <w:p w:rsidR="004D50DB" w:rsidRPr="005646DB" w:rsidRDefault="004D50DB" w:rsidP="00040F0B">
      <w:pPr>
        <w:rPr>
          <w:rFonts w:cs="Arial"/>
        </w:rPr>
      </w:pPr>
    </w:p>
    <w:sectPr w:rsidR="004D50DB" w:rsidRPr="005646DB"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E78" w:rsidRDefault="004E2E78" w:rsidP="00B719C7">
      <w:r>
        <w:separator/>
      </w:r>
    </w:p>
  </w:endnote>
  <w:endnote w:type="continuationSeparator" w:id="0">
    <w:p w:rsidR="004E2E78" w:rsidRDefault="004E2E78"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138A3AF9-6809-446F-9DCF-2C003E633C03}"/>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1F" w:rsidRDefault="00533F1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4D5450">
    <w:pPr>
      <w:pStyle w:val="Stopka"/>
    </w:pPr>
    <w:r w:rsidRPr="004D5450">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1F" w:rsidRDefault="00533F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E78" w:rsidRDefault="004E2E78" w:rsidP="00B719C7">
      <w:r>
        <w:separator/>
      </w:r>
    </w:p>
  </w:footnote>
  <w:footnote w:type="continuationSeparator" w:id="0">
    <w:p w:rsidR="004E2E78" w:rsidRDefault="004E2E78"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1F" w:rsidRDefault="00533F1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33F1F">
    <w:pPr>
      <w:spacing w:before="120"/>
      <w:ind w:left="0"/>
      <w:rPr>
        <w:rFonts w:ascii="Rockwell Extra Bold" w:hAnsi="Rockwell Extra Bold" w:cs="Arial"/>
        <w:b/>
        <w:sz w:val="40"/>
        <w:szCs w:val="40"/>
      </w:rPr>
    </w:pPr>
    <w:bookmarkStart w:id="0" w:name="_GoBack"/>
    <w:bookmarkEnd w:id="0"/>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4D5450" w:rsidRPr="004D5450">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4D5450" w:rsidRPr="004D5450">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4D50DB" w:rsidRPr="004D50DB">
      <w:rPr>
        <w:rFonts w:ascii="Rockwell Extra Bold" w:hAnsi="Rockwell Extra Bold" w:cs="Arial"/>
        <w:b/>
        <w:sz w:val="40"/>
        <w:szCs w:val="40"/>
      </w:rPr>
      <w:t>Burns and Scalds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1F" w:rsidRDefault="00533F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F07145"/>
    <w:multiLevelType w:val="hybridMultilevel"/>
    <w:tmpl w:val="2F32F7D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4F7088D"/>
    <w:multiLevelType w:val="hybridMultilevel"/>
    <w:tmpl w:val="71FE9E8C"/>
    <w:lvl w:ilvl="0" w:tplc="053629B8">
      <w:start w:val="30"/>
      <w:numFmt w:val="bullet"/>
      <w:lvlText w:val="•"/>
      <w:lvlJc w:val="left"/>
      <w:pPr>
        <w:ind w:left="436" w:hanging="360"/>
      </w:pPr>
      <w:rPr>
        <w:rFonts w:ascii="Arial" w:eastAsia="Times New Roman" w:hAnsi="Arial" w:cs="Aria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56046A6"/>
    <w:multiLevelType w:val="hybridMultilevel"/>
    <w:tmpl w:val="2EAE535E"/>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6"/>
  </w:num>
  <w:num w:numId="3">
    <w:abstractNumId w:val="14"/>
  </w:num>
  <w:num w:numId="4">
    <w:abstractNumId w:val="35"/>
  </w:num>
  <w:num w:numId="5">
    <w:abstractNumId w:val="45"/>
  </w:num>
  <w:num w:numId="6">
    <w:abstractNumId w:val="15"/>
  </w:num>
  <w:num w:numId="7">
    <w:abstractNumId w:val="44"/>
  </w:num>
  <w:num w:numId="8">
    <w:abstractNumId w:val="8"/>
  </w:num>
  <w:num w:numId="9">
    <w:abstractNumId w:val="0"/>
  </w:num>
  <w:num w:numId="10">
    <w:abstractNumId w:val="13"/>
  </w:num>
  <w:num w:numId="11">
    <w:abstractNumId w:val="38"/>
  </w:num>
  <w:num w:numId="12">
    <w:abstractNumId w:val="11"/>
  </w:num>
  <w:num w:numId="13">
    <w:abstractNumId w:val="43"/>
  </w:num>
  <w:num w:numId="14">
    <w:abstractNumId w:val="18"/>
  </w:num>
  <w:num w:numId="15">
    <w:abstractNumId w:val="5"/>
  </w:num>
  <w:num w:numId="16">
    <w:abstractNumId w:val="28"/>
  </w:num>
  <w:num w:numId="17">
    <w:abstractNumId w:val="19"/>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10"/>
  </w:num>
  <w:num w:numId="23">
    <w:abstractNumId w:val="42"/>
  </w:num>
  <w:num w:numId="24">
    <w:abstractNumId w:val="29"/>
  </w:num>
  <w:num w:numId="25">
    <w:abstractNumId w:val="3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1"/>
  </w:num>
  <w:num w:numId="36">
    <w:abstractNumId w:val="4"/>
  </w:num>
  <w:num w:numId="37">
    <w:abstractNumId w:val="12"/>
  </w:num>
  <w:num w:numId="38">
    <w:abstractNumId w:val="41"/>
  </w:num>
  <w:num w:numId="39">
    <w:abstractNumId w:val="16"/>
  </w:num>
  <w:num w:numId="40">
    <w:abstractNumId w:val="22"/>
  </w:num>
  <w:num w:numId="41">
    <w:abstractNumId w:val="7"/>
  </w:num>
  <w:num w:numId="42">
    <w:abstractNumId w:val="39"/>
  </w:num>
  <w:num w:numId="43">
    <w:abstractNumId w:val="40"/>
  </w:num>
  <w:num w:numId="44">
    <w:abstractNumId w:val="17"/>
  </w:num>
  <w:num w:numId="45">
    <w:abstractNumId w:val="37"/>
  </w:num>
  <w:num w:numId="46">
    <w:abstractNumId w:val="2"/>
  </w:num>
  <w:num w:numId="47">
    <w:abstractNumId w:val="3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5122">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76BCA"/>
    <w:rsid w:val="00490FEB"/>
    <w:rsid w:val="004945C6"/>
    <w:rsid w:val="004A78B6"/>
    <w:rsid w:val="004B1023"/>
    <w:rsid w:val="004C4E81"/>
    <w:rsid w:val="004C736B"/>
    <w:rsid w:val="004D50DB"/>
    <w:rsid w:val="004D5450"/>
    <w:rsid w:val="004E26E9"/>
    <w:rsid w:val="004E2E78"/>
    <w:rsid w:val="004E4456"/>
    <w:rsid w:val="004F0DCA"/>
    <w:rsid w:val="00501BAA"/>
    <w:rsid w:val="005200B3"/>
    <w:rsid w:val="00533F1F"/>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D67E0"/>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15976"/>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8658E"/>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0DB"/>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4D50DB"/>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4D50DB"/>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87502716">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14906-708A-4C86-B743-1F7BC5BF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17</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5</cp:revision>
  <cp:lastPrinted>2015-05-12T10:20:00Z</cp:lastPrinted>
  <dcterms:created xsi:type="dcterms:W3CDTF">2017-10-26T11:36:00Z</dcterms:created>
  <dcterms:modified xsi:type="dcterms:W3CDTF">2020-06-17T18:56:00Z</dcterms:modified>
</cp:coreProperties>
</file>